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39" w:rsidRPr="007F3839" w:rsidRDefault="007F3839" w:rsidP="007F383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F383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Антикоррупционная экспертиза</w:t>
      </w:r>
    </w:p>
    <w:p w:rsidR="007F3839" w:rsidRPr="007F3839" w:rsidRDefault="00D920FF" w:rsidP="007F38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12.12</w:t>
      </w:r>
      <w:r w:rsidR="007F3839" w:rsidRPr="007F38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.2023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</w:t>
      </w:r>
      <w:bookmarkStart w:id="0" w:name="_GoBack"/>
      <w:bookmarkEnd w:id="0"/>
    </w:p>
    <w:p w:rsidR="007F3839" w:rsidRPr="007F3839" w:rsidRDefault="007F3839" w:rsidP="007F38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Антикоррупционная</w:t>
      </w:r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F38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экспертиза</w:t>
      </w:r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r w:rsidRPr="007F38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это</w:t>
      </w:r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вид правовой </w:t>
      </w:r>
      <w:r w:rsidRPr="007F383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экспертизы</w:t>
      </w:r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которая проводится с узкой специальной задачей по выявлению и описанию </w:t>
      </w:r>
      <w:proofErr w:type="spellStart"/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коррупциогенных</w:t>
      </w:r>
      <w:proofErr w:type="spellEnd"/>
      <w:r w:rsidRPr="007F383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факторов, относящихся к действующим правовым актам и их проектам; разработке рекомендаций, направленных на устранение или ограничение действия таких факторов.</w: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коррупциогенных</w:t>
      </w:r>
      <w:proofErr w:type="spellEnd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 факторов и их последующего устранения устанавливаются:</w: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left="127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b/>
          <w:bCs/>
          <w:color w:val="B50000"/>
          <w:sz w:val="26"/>
          <w:szCs w:val="26"/>
          <w:lang w:eastAsia="ru-RU"/>
        </w:rPr>
        <w:t>1.</w:t>
      </w:r>
      <w:r w:rsidRPr="007F3839">
        <w:rPr>
          <w:rFonts w:ascii="Times New Roman" w:eastAsia="Times New Roman" w:hAnsi="Times New Roman" w:cs="Times New Roman"/>
          <w:color w:val="B50000"/>
          <w:sz w:val="14"/>
          <w:szCs w:val="14"/>
          <w:lang w:eastAsia="ru-RU"/>
        </w:rPr>
        <w:t>     </w:t>
      </w:r>
      <w:hyperlink r:id="rId5" w:history="1">
        <w:r w:rsidRPr="007F3839">
          <w:rPr>
            <w:rFonts w:ascii="Tahoma" w:eastAsia="Times New Roman" w:hAnsi="Tahoma" w:cs="Tahoma"/>
            <w:color w:val="0196C9"/>
            <w:sz w:val="21"/>
            <w:szCs w:val="21"/>
            <w:u w:val="single"/>
            <w:lang w:eastAsia="ru-RU"/>
          </w:rPr>
          <w:t>Федеральный закон от 17 июля 2009 года № 172-ФЗ «Об антикоррупционной экспертизе нормативных правовых актов и проектов нормативных правовых актов»</w:t>
        </w:r>
      </w:hyperlink>
      <w:r w:rsidRPr="007F3839">
        <w:rPr>
          <w:rFonts w:ascii="Cambria" w:eastAsia="Times New Roman" w:hAnsi="Cambria" w:cs="Tahoma"/>
          <w:b/>
          <w:bCs/>
          <w:color w:val="555555"/>
          <w:sz w:val="26"/>
          <w:szCs w:val="26"/>
          <w:lang w:eastAsia="ru-RU"/>
        </w:rPr>
        <w:t>;</w: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left="127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b/>
          <w:bCs/>
          <w:color w:val="B50000"/>
          <w:sz w:val="26"/>
          <w:szCs w:val="26"/>
          <w:lang w:eastAsia="ru-RU"/>
        </w:rPr>
        <w:t>2.</w:t>
      </w:r>
      <w:r w:rsidRPr="007F3839">
        <w:rPr>
          <w:rFonts w:ascii="Times New Roman" w:eastAsia="Times New Roman" w:hAnsi="Times New Roman" w:cs="Times New Roman"/>
          <w:color w:val="B50000"/>
          <w:sz w:val="14"/>
          <w:szCs w:val="14"/>
          <w:lang w:eastAsia="ru-RU"/>
        </w:rPr>
        <w:t>     </w:t>
      </w:r>
      <w:hyperlink r:id="rId6" w:history="1">
        <w:r w:rsidRPr="007F3839">
          <w:rPr>
            <w:rFonts w:ascii="Tahoma" w:eastAsia="Times New Roman" w:hAnsi="Tahoma" w:cs="Tahoma"/>
            <w:color w:val="0196C9"/>
            <w:sz w:val="21"/>
            <w:szCs w:val="21"/>
            <w:u w:val="single"/>
            <w:lang w:eastAsia="ru-RU"/>
          </w:rPr>
  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  </w:r>
      </w:hyperlink>
      <w:r w:rsidRPr="007F383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613689" wp14:editId="38786369">
                <wp:extent cx="304800" cy="304800"/>
                <wp:effectExtent l="0" t="0" r="0" b="0"/>
                <wp:docPr id="2" name="AutoShape 1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8873A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left="127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F3839" w:rsidRPr="007F3839" w:rsidRDefault="007F3839" w:rsidP="007F3839">
      <w:pPr>
        <w:shd w:val="clear" w:color="auto" w:fill="FFFFFF"/>
        <w:spacing w:after="0" w:line="231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Коррупциогенными</w:t>
      </w:r>
      <w:proofErr w:type="spellEnd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 факторами являются положения нормативных правовых актов, проектов нормативных правовых актов, устанавливающие для </w:t>
      </w:r>
      <w:proofErr w:type="spell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правоприменителя</w:t>
      </w:r>
      <w:proofErr w:type="spellEnd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Основными принципами организации антикоррупционной экспертизы нормативных правовых актов, проектов нормативных правовых актов являются:</w:t>
      </w:r>
    </w:p>
    <w:p w:rsidR="007F3839" w:rsidRPr="007F3839" w:rsidRDefault="007F3839" w:rsidP="007F3839">
      <w:pPr>
        <w:numPr>
          <w:ilvl w:val="0"/>
          <w:numId w:val="1"/>
        </w:numPr>
        <w:shd w:val="clear" w:color="auto" w:fill="FFFFFF"/>
        <w:spacing w:after="0" w:line="231" w:lineRule="atLeast"/>
        <w:ind w:left="0"/>
        <w:rPr>
          <w:rFonts w:ascii="Tahoma" w:eastAsia="Times New Roman" w:hAnsi="Tahoma" w:cs="Tahoma"/>
          <w:color w:val="25252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обязательность проведения антикоррупционной экспертизы проектов нормативных правовых актов;</w:t>
      </w:r>
    </w:p>
    <w:p w:rsidR="007F3839" w:rsidRPr="007F3839" w:rsidRDefault="007F3839" w:rsidP="007F3839">
      <w:pPr>
        <w:numPr>
          <w:ilvl w:val="0"/>
          <w:numId w:val="1"/>
        </w:numPr>
        <w:shd w:val="clear" w:color="auto" w:fill="FFFFFF"/>
        <w:spacing w:after="0" w:line="231" w:lineRule="atLeast"/>
        <w:ind w:left="0"/>
        <w:rPr>
          <w:rFonts w:ascii="Tahoma" w:eastAsia="Times New Roman" w:hAnsi="Tahoma" w:cs="Tahoma"/>
          <w:color w:val="25252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оценка нормативного правового акта, проекта нормативного правового акта во взаимосвязи с другими нормативными правовыми актами;</w:t>
      </w:r>
    </w:p>
    <w:p w:rsidR="007F3839" w:rsidRPr="007F3839" w:rsidRDefault="007F3839" w:rsidP="007F3839">
      <w:pPr>
        <w:numPr>
          <w:ilvl w:val="0"/>
          <w:numId w:val="1"/>
        </w:numPr>
        <w:shd w:val="clear" w:color="auto" w:fill="FFFFFF"/>
        <w:spacing w:after="0" w:line="231" w:lineRule="atLeast"/>
        <w:ind w:left="0"/>
        <w:rPr>
          <w:rFonts w:ascii="Tahoma" w:eastAsia="Times New Roman" w:hAnsi="Tahoma" w:cs="Tahoma"/>
          <w:color w:val="25252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обоснованность, объективность и </w:t>
      </w:r>
      <w:proofErr w:type="spell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проверяемость</w:t>
      </w:r>
      <w:proofErr w:type="spellEnd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 результатов антикоррупционной экспертизы нормативных правовых актов, проектов нормативных правовых актов;</w:t>
      </w:r>
    </w:p>
    <w:p w:rsidR="007F3839" w:rsidRPr="007F3839" w:rsidRDefault="007F3839" w:rsidP="007F3839">
      <w:pPr>
        <w:numPr>
          <w:ilvl w:val="0"/>
          <w:numId w:val="1"/>
        </w:numPr>
        <w:shd w:val="clear" w:color="auto" w:fill="FFFFFF"/>
        <w:spacing w:after="0" w:line="231" w:lineRule="atLeast"/>
        <w:ind w:left="0"/>
        <w:rPr>
          <w:rFonts w:ascii="Tahoma" w:eastAsia="Times New Roman" w:hAnsi="Tahoma" w:cs="Tahoma"/>
          <w:color w:val="25252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компетентность лиц, проводящих антикоррупционную экспертизу нормативных правовых актов, проектов нормативных правовых актов;</w:t>
      </w:r>
    </w:p>
    <w:p w:rsidR="007F3839" w:rsidRPr="007F3839" w:rsidRDefault="007F3839" w:rsidP="007F3839">
      <w:pPr>
        <w:numPr>
          <w:ilvl w:val="0"/>
          <w:numId w:val="1"/>
        </w:numPr>
        <w:shd w:val="clear" w:color="auto" w:fill="FFFFFF"/>
        <w:spacing w:after="0" w:line="231" w:lineRule="atLeast"/>
        <w:ind w:left="0"/>
        <w:rPr>
          <w:rFonts w:ascii="Tahoma" w:eastAsia="Times New Roman" w:hAnsi="Tahoma" w:cs="Tahoma"/>
          <w:color w:val="25252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сотрудничество с институтами гражданского общества при проведении антикоррупционной экспертизы нормативных правовых актов, проектов нормативных правовых актов.</w:t>
      </w:r>
    </w:p>
    <w:p w:rsidR="007F3839" w:rsidRPr="007F3839" w:rsidRDefault="007F3839" w:rsidP="007F3839">
      <w:pPr>
        <w:shd w:val="clear" w:color="auto" w:fill="FFFFFF"/>
        <w:spacing w:after="0" w:line="231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актов, проектов нормативных правовых актов.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lastRenderedPageBreak/>
        <w:t xml:space="preserve">органом, организацией или должностным лицом, которым оно направлено, в тридцатидневный срок со дня его получения. По результатам рассмотрения лицу, проводившему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коррупциогенных</w:t>
      </w:r>
      <w:proofErr w:type="spellEnd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 факторов.</w:t>
      </w:r>
    </w:p>
    <w:p w:rsidR="007F3839" w:rsidRPr="007F3839" w:rsidRDefault="007F3839" w:rsidP="007F3839">
      <w:pPr>
        <w:shd w:val="clear" w:color="auto" w:fill="FFFFFF"/>
        <w:spacing w:after="150" w:line="23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 xml:space="preserve">              Федеральный портал проектов нормативных правовых актов </w:t>
      </w:r>
      <w:proofErr w:type="gramStart"/>
      <w:r w:rsidRPr="007F3839">
        <w:rPr>
          <w:rFonts w:ascii="Cambria" w:eastAsia="Times New Roman" w:hAnsi="Cambria" w:cs="Tahoma"/>
          <w:color w:val="252525"/>
          <w:sz w:val="26"/>
          <w:szCs w:val="26"/>
          <w:lang w:eastAsia="ru-RU"/>
        </w:rPr>
        <w:t>https://regulation.gov.ru/ .</w:t>
      </w:r>
      <w:proofErr w:type="gramEnd"/>
      <w:r w:rsidRPr="007F383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E761FAE" wp14:editId="79AC2375">
                <wp:extent cx="304800" cy="304800"/>
                <wp:effectExtent l="0" t="0" r="0" b="0"/>
                <wp:docPr id="1" name="AutoShape 2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4136B" id="AutoShape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CoEA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F766B" w:rsidRPr="00300178" w:rsidRDefault="00AF766B" w:rsidP="00300178"/>
    <w:sectPr w:rsidR="00AF766B" w:rsidRPr="0030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0349B"/>
    <w:multiLevelType w:val="multilevel"/>
    <w:tmpl w:val="BF6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3"/>
    <w:rsid w:val="00020758"/>
    <w:rsid w:val="00097064"/>
    <w:rsid w:val="00163056"/>
    <w:rsid w:val="00222360"/>
    <w:rsid w:val="00300178"/>
    <w:rsid w:val="003445C2"/>
    <w:rsid w:val="006C1722"/>
    <w:rsid w:val="007C39E3"/>
    <w:rsid w:val="007F3839"/>
    <w:rsid w:val="009D36B0"/>
    <w:rsid w:val="009E2083"/>
    <w:rsid w:val="00AF766B"/>
    <w:rsid w:val="00BC672F"/>
    <w:rsid w:val="00D12354"/>
    <w:rsid w:val="00D920FF"/>
    <w:rsid w:val="00DD0241"/>
    <w:rsid w:val="00E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CE82-ED95-44C2-A33C-177D1A7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41"/>
  </w:style>
  <w:style w:type="paragraph" w:styleId="1">
    <w:name w:val="heading 1"/>
    <w:basedOn w:val="a"/>
    <w:next w:val="a"/>
    <w:link w:val="10"/>
    <w:uiPriority w:val="9"/>
    <w:qFormat/>
    <w:rsid w:val="00DD0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024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024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D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D02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DD0241"/>
    <w:rPr>
      <w:b/>
      <w:bCs/>
    </w:rPr>
  </w:style>
  <w:style w:type="paragraph" w:styleId="a4">
    <w:name w:val="No Spacing"/>
    <w:uiPriority w:val="1"/>
    <w:qFormat/>
    <w:rsid w:val="00DD02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241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7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8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corruption.midural.ru/uploads/%D0%9D%D0%9F%D0%90/%D0%9F%D0%9F%20%D0%A0%D0%A4%20%D0%BE%D1%82%2026%20%D1%84%D0%B5%D0%B2%D1%80%D0%B0%D0%BB%D1%8F%202010%20%D0%B3.%20N%2096.docx" TargetMode="External"/><Relationship Id="rId5" Type="http://schemas.openxmlformats.org/officeDocument/2006/relationships/hyperlink" Target="https://anticorruption.midural.ru/uploads/%D0%9D%D0%9F%D0%90/172-%D1%84%D0%B7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cp:lastPrinted>2023-10-24T22:18:00Z</cp:lastPrinted>
  <dcterms:created xsi:type="dcterms:W3CDTF">2023-12-12T05:06:00Z</dcterms:created>
  <dcterms:modified xsi:type="dcterms:W3CDTF">2023-12-12T05:06:00Z</dcterms:modified>
</cp:coreProperties>
</file>